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1E657D" w14:textId="77777777" w:rsidR="008B45B5" w:rsidRDefault="00652ED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for Proposals (RFP)</w:t>
      </w:r>
    </w:p>
    <w:p w14:paraId="1F285550" w14:textId="77777777" w:rsidR="008B45B5" w:rsidRDefault="00652ED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Consulting Services</w:t>
      </w:r>
    </w:p>
    <w:p w14:paraId="695D9CED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475A1926" w14:textId="77777777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Overview</w:t>
      </w:r>
    </w:p>
    <w:p w14:paraId="6683939B" w14:textId="77777777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Renew, an agency of the Christian Reformed Church in North America (CRCNA), is a non-profit, international development and disaster response organization with offices in Burlington, Ontario (Canada) and Grand Rapids and Byron Center, Michigan (U.S.A.).</w:t>
      </w:r>
    </w:p>
    <w:p w14:paraId="60C2821D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68674" w14:textId="5C4F8CA9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>ld Renew is embarking on a five-</w:t>
      </w:r>
      <w:r>
        <w:rPr>
          <w:rFonts w:ascii="Times New Roman" w:eastAsia="Times New Roman" w:hAnsi="Times New Roman" w:cs="Times New Roman"/>
          <w:sz w:val="24"/>
          <w:szCs w:val="24"/>
        </w:rPr>
        <w:t>year Comprehensive Impact Campaign (CIC) to impact the lives of 6 million people and raise $200 million. The CIC will raise the organizational profile, broaden our donor base, and engage our support community in new ways. To achieve these goals</w:t>
      </w:r>
      <w:r w:rsidR="00AA03F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World Renew has begun working with a firm specializing in marketing, communications, and fundraising with individual donors and churches. In an effort to fully realize the campaign goal, World Renew now seeks a firm to provide similar overall direction focusing on institutional donors (such as governments, institutions, corporations and foundations) into the campaign.</w:t>
      </w:r>
    </w:p>
    <w:p w14:paraId="1260C38B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A7634" w14:textId="77777777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Consultancy Objective</w:t>
      </w:r>
    </w:p>
    <w:p w14:paraId="4ED5600A" w14:textId="64F707E0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World Renew seeks to engage an experienced grants </w:t>
      </w:r>
      <w:r w:rsidR="00A96AE4">
        <w:rPr>
          <w:rFonts w:ascii="Times New Roman" w:eastAsia="Times New Roman" w:hAnsi="Times New Roman" w:cs="Times New Roman"/>
          <w:sz w:val="24"/>
          <w:szCs w:val="24"/>
        </w:rPr>
        <w:t xml:space="preserve">acquisition and management </w:t>
      </w:r>
      <w:r>
        <w:rPr>
          <w:rFonts w:ascii="Times New Roman" w:eastAsia="Times New Roman" w:hAnsi="Times New Roman" w:cs="Times New Roman"/>
          <w:sz w:val="24"/>
          <w:szCs w:val="24"/>
        </w:rPr>
        <w:t>consulting firm</w:t>
      </w:r>
      <w:r w:rsidR="00A96AE4">
        <w:rPr>
          <w:rFonts w:ascii="Times New Roman" w:eastAsia="Times New Roman" w:hAnsi="Times New Roman" w:cs="Times New Roman"/>
          <w:sz w:val="24"/>
          <w:szCs w:val="24"/>
        </w:rPr>
        <w:t xml:space="preserve"> (or individual)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identify trends with institutional donors who support international development activities, evaluate partnership trends and opportunities, and develop a grant strategy to enhance </w:t>
      </w:r>
      <w:r w:rsidR="00A96AE4">
        <w:rPr>
          <w:rFonts w:ascii="Times New Roman" w:eastAsia="Times New Roman" w:hAnsi="Times New Roman" w:cs="Times New Roman"/>
          <w:sz w:val="24"/>
          <w:szCs w:val="24"/>
        </w:rPr>
        <w:t xml:space="preserve">the success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World Renew’s current grant-seeking processes. </w:t>
      </w:r>
    </w:p>
    <w:p w14:paraId="6AD22D7B" w14:textId="77777777" w:rsidR="008B45B5" w:rsidRDefault="008B45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7BD53" w14:textId="77777777" w:rsidR="008B45B5" w:rsidRDefault="00652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Profile of Consultant/Firm:</w:t>
      </w:r>
    </w:p>
    <w:p w14:paraId="3B96D386" w14:textId="65F9CE58" w:rsidR="008B45B5" w:rsidRDefault="00610E9B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u</w:t>
      </w:r>
      <w:r w:rsidR="00652EDE">
        <w:rPr>
          <w:rFonts w:ascii="Times New Roman" w:eastAsia="Times New Roman" w:hAnsi="Times New Roman" w:cs="Times New Roman"/>
          <w:sz w:val="24"/>
          <w:szCs w:val="24"/>
        </w:rPr>
        <w:t>nderstanding of World Renew’s mission and values.</w:t>
      </w:r>
    </w:p>
    <w:p w14:paraId="243D8244" w14:textId="23F3BDD4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 experience working with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 xml:space="preserve"> and acquiring grants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 xml:space="preserve">a wide array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bilateral, multilateral, 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 xml:space="preserve">corporate, foundation, and </w:t>
      </w:r>
      <w:r>
        <w:rPr>
          <w:rFonts w:ascii="Times New Roman" w:eastAsia="Times New Roman" w:hAnsi="Times New Roman" w:cs="Times New Roman"/>
          <w:sz w:val="24"/>
          <w:szCs w:val="24"/>
        </w:rPr>
        <w:t>institutional donors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 xml:space="preserve">, in Canada, United States, and the European Union,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fund international development programs. </w:t>
      </w:r>
    </w:p>
    <w:p w14:paraId="66BB2239" w14:textId="3B0B01F7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In-depth experience on the role of a grants strategy within a</w:t>
      </w:r>
      <w:r w:rsidR="00BF675A">
        <w:rPr>
          <w:rFonts w:ascii="Times New Roman" w:eastAsia="Times New Roman" w:hAnsi="Times New Roman" w:cs="Times New Roman"/>
          <w:sz w:val="24"/>
          <w:szCs w:val="24"/>
        </w:rPr>
        <w:t>n organizational fundraising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campaign to advise on the alignment of grants within the Comprehensive Impact Campaign.</w:t>
      </w:r>
    </w:p>
    <w:p w14:paraId="341CD566" w14:textId="0CC5CA09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AA03FA">
        <w:rPr>
          <w:rFonts w:ascii="Times New Roman" w:eastAsia="Times New Roman" w:hAnsi="Times New Roman" w:cs="Times New Roman"/>
          <w:sz w:val="24"/>
          <w:szCs w:val="24"/>
        </w:rPr>
        <w:t>d knowledge and experience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institutional funding trends in the United States and Canada.  Experience with institutional funding trends in other regions, such as Europe, is an asset.</w:t>
      </w:r>
    </w:p>
    <w:p w14:paraId="51338B16" w14:textId="02825687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Expertise in conducting cost-benefit </w:t>
      </w:r>
      <w:r w:rsidR="00610E9B">
        <w:rPr>
          <w:rFonts w:ascii="Times New Roman" w:eastAsia="Times New Roman" w:hAnsi="Times New Roman" w:cs="Times New Roman"/>
          <w:sz w:val="24"/>
          <w:szCs w:val="24"/>
        </w:rPr>
        <w:t xml:space="preserve">analyses of partnerships (e.g. </w:t>
      </w:r>
      <w:r w:rsidR="00AA03FA">
        <w:rPr>
          <w:rFonts w:ascii="Times New Roman" w:eastAsia="Times New Roman" w:hAnsi="Times New Roman" w:cs="Times New Roman"/>
          <w:sz w:val="24"/>
          <w:szCs w:val="24"/>
        </w:rPr>
        <w:t xml:space="preserve">in-country partners, consortia </w:t>
      </w:r>
      <w:r>
        <w:rPr>
          <w:rFonts w:ascii="Times New Roman" w:eastAsia="Times New Roman" w:hAnsi="Times New Roman" w:cs="Times New Roman"/>
          <w:sz w:val="24"/>
          <w:szCs w:val="24"/>
        </w:rPr>
        <w:t>and corporate partnerships).</w:t>
      </w:r>
    </w:p>
    <w:p w14:paraId="416BAD73" w14:textId="77777777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Expertise in analyzing funding trends of institutional donors in regards to grant awards, including those with a geographical and sectoral focus.</w:t>
      </w:r>
    </w:p>
    <w:p w14:paraId="5AE9E22D" w14:textId="77777777" w:rsidR="008B45B5" w:rsidRDefault="00652EDE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 ability to identify resources and tools which aid in finding funding opportunities and networks which may be v</w:t>
      </w:r>
      <w:r w:rsidR="00AA03FA">
        <w:rPr>
          <w:rFonts w:ascii="Times New Roman" w:eastAsia="Times New Roman" w:hAnsi="Times New Roman" w:cs="Times New Roman"/>
          <w:sz w:val="24"/>
          <w:szCs w:val="24"/>
        </w:rPr>
        <w:t>aluable for developing a grants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strategy.</w:t>
      </w:r>
    </w:p>
    <w:p w14:paraId="5996CA8A" w14:textId="77777777" w:rsidR="008B45B5" w:rsidRDefault="00652EDE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Demonstrated experience in developing capability and/or capacity statements which communicate expertise and donor alignment for both fund seeking and consortia building opportunities. </w:t>
      </w:r>
    </w:p>
    <w:p w14:paraId="08E4E315" w14:textId="77777777" w:rsidR="008B45B5" w:rsidRDefault="00652EDE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with donor mapping.  Experience with the application of social network analysis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donor mapping is an asset.        </w:t>
      </w:r>
    </w:p>
    <w:p w14:paraId="4FE85307" w14:textId="77777777" w:rsidR="008B45B5" w:rsidRDefault="00652EDE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 experience developing budgeting processes which effectively communicate the competitive advantage of an international development agency (e.g., cost per participant, cost per program, quantifying capacity building).</w:t>
      </w:r>
    </w:p>
    <w:p w14:paraId="1EC60870" w14:textId="77777777" w:rsidR="008B45B5" w:rsidRDefault="008B45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E82CF" w14:textId="77777777" w:rsidR="008B45B5" w:rsidRDefault="00652ED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Deliverables:</w:t>
      </w:r>
    </w:p>
    <w:p w14:paraId="2F2D1C09" w14:textId="77777777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institutional funding trends, including geographic and sector focus.</w:t>
      </w:r>
    </w:p>
    <w:p w14:paraId="70996121" w14:textId="77777777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 of current and potential value of partnerships.</w:t>
      </w:r>
    </w:p>
    <w:p w14:paraId="4730235A" w14:textId="77777777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resources and tools to streamline network of potential grant funders and other 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titutional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donors.</w:t>
      </w:r>
    </w:p>
    <w:p w14:paraId="1CC910FC" w14:textId="16142372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Strategy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enhance </w:t>
      </w:r>
      <w:r w:rsidR="00A9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win rate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Renew’s gran</w:t>
      </w:r>
      <w:r>
        <w:rPr>
          <w:rFonts w:ascii="Times New Roman" w:eastAsia="Times New Roman" w:hAnsi="Times New Roman" w:cs="Times New Roman"/>
          <w:sz w:val="24"/>
          <w:szCs w:val="24"/>
        </w:rPr>
        <w:t>t seeking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process, including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strategy on how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funder opportunities </w:t>
      </w:r>
      <w:r>
        <w:rPr>
          <w:rFonts w:ascii="Times New Roman" w:eastAsia="Times New Roman" w:hAnsi="Times New Roman" w:cs="Times New Roman"/>
          <w:sz w:val="24"/>
          <w:szCs w:val="24"/>
        </w:rPr>
        <w:t>can be best matched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potential projects. </w:t>
      </w:r>
    </w:p>
    <w:p w14:paraId="689D4C7D" w14:textId="77777777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World Renew’s </w:t>
      </w:r>
      <w:r>
        <w:rPr>
          <w:rFonts w:ascii="Times New Roman" w:eastAsia="Times New Roman" w:hAnsi="Times New Roman" w:cs="Times New Roman"/>
          <w:sz w:val="24"/>
          <w:szCs w:val="24"/>
        </w:rPr>
        <w:t>competitive 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proposition </w:t>
      </w:r>
      <w:r>
        <w:rPr>
          <w:rFonts w:ascii="Times New Roman" w:eastAsia="Times New Roman" w:hAnsi="Times New Roman" w:cs="Times New Roman"/>
          <w:sz w:val="24"/>
          <w:szCs w:val="24"/>
        </w:rPr>
        <w:t>and provide guidance, based on best practices from other similar NGOs, for better packaging the value added component of consulting with local partners in addition to a cost per participant calculation.</w:t>
      </w:r>
    </w:p>
    <w:p w14:paraId="758C5968" w14:textId="77777777" w:rsidR="008B45B5" w:rsidRDefault="00652E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enhance 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cost structures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developed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accurate, defensible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competitive.</w:t>
      </w:r>
    </w:p>
    <w:p w14:paraId="03712DAC" w14:textId="27572FFC" w:rsidR="008B45B5" w:rsidRDefault="00610E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2E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Please submit </w:t>
      </w:r>
      <w:r w:rsidR="00652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652E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proposal comprising of</w:t>
      </w:r>
      <w:r w:rsidR="0065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52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F1DE47" w14:textId="77777777" w:rsidR="008B45B5" w:rsidRDefault="00652E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letter of interest that outlines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firm’s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qualifications, availability including anticipated begin and end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well 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 schedule.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 schedule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day-rate, related time schedule as well as a price-list for other specific services. </w:t>
      </w:r>
    </w:p>
    <w:p w14:paraId="04E90584" w14:textId="77777777" w:rsidR="008B45B5" w:rsidRDefault="00652E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CV/resume, if a single consultant, or company prospectus if a firm, or CVs for up to three people who would be delivering services on behalf of a firm.</w:t>
      </w:r>
    </w:p>
    <w:p w14:paraId="7A854382" w14:textId="0AFB9B62" w:rsidR="008B45B5" w:rsidRDefault="00610E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list of previous clients.</w:t>
      </w:r>
      <w:r w:rsidR="00652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57BD905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18C53" w14:textId="5A8D6B02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Proposals should be submitted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or before</w:t>
      </w:r>
      <w:r w:rsidR="00610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February 28,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World Renew, attention of:  Laura Chiarot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lchiarot@worldrenew.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B1417D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A437C" w14:textId="7116D379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proposal consisting of the above documents must be submitted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same time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together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 (one) PDF document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order for it to receive consideration </w:t>
      </w:r>
    </w:p>
    <w:p w14:paraId="6B6BB540" w14:textId="77777777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543D9" w14:textId="77777777" w:rsidR="008B45B5" w:rsidRDefault="00652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14:paraId="30D8AF61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CE406" w14:textId="77777777" w:rsidR="008B45B5" w:rsidRDefault="008B45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46E1A" w14:textId="77777777" w:rsidR="008B45B5" w:rsidRDefault="00652E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World Renew is not bound to accept any or all of the proposals received.</w:t>
      </w:r>
    </w:p>
    <w:p w14:paraId="5010D6ED" w14:textId="77777777" w:rsidR="008B45B5" w:rsidRDefault="008B45B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B45B5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8CE0" w14:textId="77777777" w:rsidR="00AD76A3" w:rsidRDefault="00652EDE">
      <w:pPr>
        <w:spacing w:line="240" w:lineRule="auto"/>
      </w:pPr>
      <w:r>
        <w:separator/>
      </w:r>
    </w:p>
  </w:endnote>
  <w:endnote w:type="continuationSeparator" w:id="0">
    <w:p w14:paraId="1669DBA2" w14:textId="77777777" w:rsidR="00AD76A3" w:rsidRDefault="00652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E6F0" w14:textId="2E749B2F" w:rsidR="008B45B5" w:rsidRDefault="00652E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0E9B">
      <w:rPr>
        <w:noProof/>
        <w:color w:val="000000"/>
      </w:rPr>
      <w:t>2</w:t>
    </w:r>
    <w:r>
      <w:rPr>
        <w:color w:val="000000"/>
      </w:rPr>
      <w:fldChar w:fldCharType="end"/>
    </w:r>
  </w:p>
  <w:p w14:paraId="1CEA5836" w14:textId="77777777" w:rsidR="008B45B5" w:rsidRDefault="008B4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BE93" w14:textId="77777777" w:rsidR="00AD76A3" w:rsidRDefault="00652EDE">
      <w:pPr>
        <w:spacing w:line="240" w:lineRule="auto"/>
      </w:pPr>
      <w:r>
        <w:separator/>
      </w:r>
    </w:p>
  </w:footnote>
  <w:footnote w:type="continuationSeparator" w:id="0">
    <w:p w14:paraId="0F41BDD1" w14:textId="77777777" w:rsidR="00AD76A3" w:rsidRDefault="00652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B3F9" w14:textId="77777777" w:rsidR="008B45B5" w:rsidRDefault="008B45B5">
    <w:pPr>
      <w:tabs>
        <w:tab w:val="center" w:pos="4680"/>
        <w:tab w:val="right" w:pos="9360"/>
      </w:tabs>
      <w:spacing w:line="240" w:lineRule="auto"/>
      <w:jc w:val="center"/>
    </w:pPr>
  </w:p>
  <w:p w14:paraId="7F250C94" w14:textId="77777777" w:rsidR="008B45B5" w:rsidRDefault="008B45B5">
    <w:pPr>
      <w:tabs>
        <w:tab w:val="center" w:pos="4680"/>
        <w:tab w:val="right" w:pos="9360"/>
      </w:tabs>
      <w:spacing w:line="240" w:lineRule="auto"/>
      <w:jc w:val="center"/>
    </w:pPr>
  </w:p>
  <w:p w14:paraId="4B6081A7" w14:textId="77777777" w:rsidR="008B45B5" w:rsidRDefault="00652EDE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BA30C48" wp14:editId="391B25D6">
          <wp:extent cx="3017520" cy="5410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752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5AAF1F" w14:textId="77777777" w:rsidR="008B45B5" w:rsidRDefault="008B45B5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478"/>
    <w:multiLevelType w:val="multilevel"/>
    <w:tmpl w:val="F8465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34C44"/>
    <w:multiLevelType w:val="multilevel"/>
    <w:tmpl w:val="3B269FF4"/>
    <w:lvl w:ilvl="0">
      <w:start w:val="1"/>
      <w:numFmt w:val="decimal"/>
      <w:lvlText w:val="%1."/>
      <w:lvlJc w:val="left"/>
      <w:pPr>
        <w:ind w:left="-63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4D840EC7"/>
    <w:multiLevelType w:val="multilevel"/>
    <w:tmpl w:val="38965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5"/>
    <w:rsid w:val="001031E4"/>
    <w:rsid w:val="00610E9B"/>
    <w:rsid w:val="00652EDE"/>
    <w:rsid w:val="008B45B5"/>
    <w:rsid w:val="00A96AE4"/>
    <w:rsid w:val="00AA03FA"/>
    <w:rsid w:val="00AD76A3"/>
    <w:rsid w:val="00B31611"/>
    <w:rsid w:val="00B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B1E0"/>
  <w15:docId w15:val="{247830CA-B4D9-48CA-9A8F-30DB4029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675A"/>
    <w:pPr>
      <w:widowControl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iarot@worldrenew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hiarot@worldrenew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Fernhout</dc:creator>
  <cp:lastModifiedBy>Laura Chiarot</cp:lastModifiedBy>
  <cp:revision>2</cp:revision>
  <cp:lastPrinted>2020-01-31T17:35:00Z</cp:lastPrinted>
  <dcterms:created xsi:type="dcterms:W3CDTF">2020-01-31T18:18:00Z</dcterms:created>
  <dcterms:modified xsi:type="dcterms:W3CDTF">2020-01-31T18:18:00Z</dcterms:modified>
</cp:coreProperties>
</file>